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10"/>
        <w:rPr>
          <w:sz w:val="19"/>
        </w:rPr>
      </w:pPr>
    </w:p>
    <w:p>
      <w:pPr>
        <w:spacing w:before="89"/>
        <w:ind w:left="0" w:right="579" w:firstLine="0"/>
        <w:jc w:val="right"/>
        <w:rPr>
          <w:i/>
          <w:sz w:val="28"/>
        </w:rPr>
      </w:pPr>
      <w:bookmarkStart w:name="Pr.Lege modif.Legii 276_18.09.2020" w:id="1"/>
      <w:bookmarkEnd w:id="1"/>
      <w:r>
        <w:rPr/>
      </w:r>
      <w:r>
        <w:rPr>
          <w:i/>
          <w:sz w:val="28"/>
        </w:rPr>
        <w:t>Proiect</w:t>
      </w:r>
    </w:p>
    <w:p>
      <w:pPr>
        <w:pStyle w:val="Heading1"/>
        <w:spacing w:line="570" w:lineRule="atLeast"/>
        <w:ind w:left="4556" w:right="2189" w:hanging="2357"/>
      </w:pPr>
      <w:r>
        <w:rPr/>
        <w:t>PARLAMENTUL REPUBLICII MOLDOVA LEGE</w:t>
      </w:r>
    </w:p>
    <w:p>
      <w:pPr>
        <w:spacing w:before="45"/>
        <w:ind w:left="1260" w:right="0" w:firstLine="0"/>
        <w:jc w:val="left"/>
        <w:rPr>
          <w:b/>
          <w:sz w:val="28"/>
        </w:rPr>
      </w:pPr>
      <w:r>
        <w:rPr>
          <w:b/>
          <w:sz w:val="28"/>
        </w:rPr>
        <w:t>pentru modificarea Legii nr. 276/2016 cu privire la</w:t>
      </w:r>
      <w:r>
        <w:rPr>
          <w:b/>
          <w:spacing w:val="-24"/>
          <w:sz w:val="28"/>
        </w:rPr>
        <w:t> </w:t>
      </w:r>
      <w:r>
        <w:rPr>
          <w:b/>
          <w:sz w:val="28"/>
        </w:rPr>
        <w:t>principiile</w:t>
      </w:r>
    </w:p>
    <w:p>
      <w:pPr>
        <w:spacing w:before="50"/>
        <w:ind w:left="1284" w:right="0" w:firstLine="0"/>
        <w:jc w:val="left"/>
        <w:rPr>
          <w:b/>
          <w:sz w:val="28"/>
        </w:rPr>
      </w:pPr>
      <w:r>
        <w:rPr>
          <w:b/>
          <w:sz w:val="28"/>
        </w:rPr>
        <w:t>de subvenționare în dezvoltarea agriculturii și mediului</w:t>
      </w:r>
      <w:r>
        <w:rPr>
          <w:b/>
          <w:spacing w:val="-24"/>
          <w:sz w:val="28"/>
        </w:rPr>
        <w:t> </w:t>
      </w:r>
      <w:r>
        <w:rPr>
          <w:b/>
          <w:sz w:val="28"/>
        </w:rPr>
        <w:t>rural</w:t>
      </w:r>
    </w:p>
    <w:p>
      <w:pPr>
        <w:pStyle w:val="BodyText"/>
        <w:spacing w:before="6"/>
        <w:rPr>
          <w:b/>
          <w:sz w:val="36"/>
        </w:rPr>
      </w:pPr>
    </w:p>
    <w:p>
      <w:pPr>
        <w:pStyle w:val="BodyText"/>
        <w:ind w:left="101"/>
      </w:pPr>
      <w:r>
        <w:rPr/>
        <w:t>Parlamentul adoptă prezenta lege organică.</w:t>
      </w:r>
    </w:p>
    <w:p>
      <w:pPr>
        <w:pStyle w:val="BodyText"/>
        <w:spacing w:before="247"/>
        <w:ind w:left="101" w:right="104" w:firstLine="450"/>
        <w:jc w:val="both"/>
      </w:pPr>
      <w:r>
        <w:rPr/>
        <w:t>Art. I. Legea nr. 276/2016 cu privire la principiile de subvenționare </w:t>
      </w:r>
      <w:r>
        <w:rPr>
          <w:spacing w:val="-4"/>
        </w:rPr>
        <w:t>în</w:t>
      </w:r>
      <w:r>
        <w:rPr>
          <w:spacing w:val="62"/>
        </w:rPr>
        <w:t> </w:t>
      </w:r>
      <w:r>
        <w:rPr/>
        <w:t>dezvoltarea agriculturii și mediului rural (Monitorul Oficial al Republicii Moldova, 2017, nr.67-71, art. 93) cu modificările ulterioare, se modifică după cum</w:t>
      </w:r>
      <w:r>
        <w:rPr>
          <w:spacing w:val="-22"/>
        </w:rPr>
        <w:t> </w:t>
      </w:r>
      <w:r>
        <w:rPr/>
        <w:t>urmează</w:t>
      </w:r>
      <w:r>
        <w:rPr>
          <w:color w:val="006FC0"/>
        </w:rPr>
        <w:t>:</w:t>
      </w:r>
    </w:p>
    <w:p>
      <w:pPr>
        <w:pStyle w:val="BodyText"/>
        <w:spacing w:before="9"/>
        <w:rPr>
          <w:sz w:val="27"/>
        </w:rPr>
      </w:pPr>
    </w:p>
    <w:p>
      <w:pPr>
        <w:pStyle w:val="ListParagraph"/>
        <w:numPr>
          <w:ilvl w:val="0"/>
          <w:numId w:val="1"/>
        </w:numPr>
        <w:tabs>
          <w:tab w:pos="822" w:val="left" w:leader="none"/>
        </w:tabs>
        <w:spacing w:line="278" w:lineRule="auto" w:before="1" w:after="0"/>
        <w:ind w:left="102" w:right="449" w:firstLine="359"/>
        <w:jc w:val="left"/>
        <w:rPr>
          <w:sz w:val="28"/>
        </w:rPr>
      </w:pPr>
      <w:r>
        <w:rPr>
          <w:sz w:val="28"/>
        </w:rPr>
        <w:t>La articolul 32 alineatul (1) litera d), se completează cu următorul text: ”, cu excepția proiectelor care se încadrează la art. 17, prioritatea I, alineatul 1) litera</w:t>
      </w:r>
      <w:r>
        <w:rPr>
          <w:spacing w:val="-26"/>
          <w:sz w:val="28"/>
        </w:rPr>
        <w:t> </w:t>
      </w:r>
      <w:r>
        <w:rPr>
          <w:sz w:val="28"/>
        </w:rPr>
        <w:t>f)”;</w:t>
      </w:r>
    </w:p>
    <w:p>
      <w:pPr>
        <w:pStyle w:val="BodyText"/>
        <w:spacing w:before="7"/>
        <w:rPr>
          <w:sz w:val="31"/>
        </w:rPr>
      </w:pPr>
    </w:p>
    <w:p>
      <w:pPr>
        <w:pStyle w:val="ListParagraph"/>
        <w:numPr>
          <w:ilvl w:val="0"/>
          <w:numId w:val="1"/>
        </w:numPr>
        <w:tabs>
          <w:tab w:pos="822" w:val="left" w:leader="none"/>
        </w:tabs>
        <w:spacing w:line="240" w:lineRule="auto" w:before="0" w:after="0"/>
        <w:ind w:left="821" w:right="0" w:hanging="360"/>
        <w:jc w:val="left"/>
        <w:rPr>
          <w:sz w:val="28"/>
        </w:rPr>
      </w:pPr>
      <w:r>
        <w:rPr>
          <w:sz w:val="28"/>
        </w:rPr>
        <w:t>Articolul 33 se completează cu alineatul (6) cu următorul</w:t>
      </w:r>
      <w:r>
        <w:rPr>
          <w:spacing w:val="-8"/>
          <w:sz w:val="28"/>
        </w:rPr>
        <w:t> </w:t>
      </w:r>
      <w:r>
        <w:rPr>
          <w:sz w:val="28"/>
        </w:rPr>
        <w:t>cuprins:</w:t>
      </w:r>
    </w:p>
    <w:p>
      <w:pPr>
        <w:pStyle w:val="BodyText"/>
        <w:spacing w:line="278" w:lineRule="auto" w:before="48"/>
        <w:ind w:left="101" w:firstLine="360"/>
      </w:pPr>
      <w:r>
        <w:rPr/>
        <w:t>„(6) Pentru cererile de acordare a subvențiilor prevăzute la art. 17, prioritatea I, alineatul 1) litera f), procedura de achitare a subvențiilor se aprobă de Guvern</w:t>
      </w:r>
      <w:r>
        <w:rPr>
          <w:color w:val="252525"/>
        </w:rPr>
        <w:t>.”;</w:t>
      </w:r>
    </w:p>
    <w:p>
      <w:pPr>
        <w:pStyle w:val="BodyText"/>
        <w:spacing w:before="8"/>
        <w:rPr>
          <w:sz w:val="31"/>
        </w:rPr>
      </w:pPr>
    </w:p>
    <w:p>
      <w:pPr>
        <w:pStyle w:val="ListParagraph"/>
        <w:numPr>
          <w:ilvl w:val="0"/>
          <w:numId w:val="1"/>
        </w:numPr>
        <w:tabs>
          <w:tab w:pos="822" w:val="left" w:leader="none"/>
        </w:tabs>
        <w:spacing w:line="240" w:lineRule="auto" w:before="0" w:after="0"/>
        <w:ind w:left="821" w:right="0" w:hanging="360"/>
        <w:jc w:val="left"/>
        <w:rPr>
          <w:sz w:val="28"/>
        </w:rPr>
      </w:pPr>
      <w:r>
        <w:rPr>
          <w:sz w:val="28"/>
        </w:rPr>
        <w:t>Articolul 37 se completează cu alineatul (3) cu următorul</w:t>
      </w:r>
      <w:r>
        <w:rPr>
          <w:spacing w:val="-9"/>
          <w:sz w:val="28"/>
        </w:rPr>
        <w:t> </w:t>
      </w:r>
      <w:r>
        <w:rPr>
          <w:sz w:val="28"/>
        </w:rPr>
        <w:t>cuprins:</w:t>
      </w:r>
    </w:p>
    <w:p>
      <w:pPr>
        <w:pStyle w:val="BodyText"/>
        <w:spacing w:line="276" w:lineRule="auto" w:before="50"/>
        <w:ind w:left="101" w:firstLine="431"/>
      </w:pPr>
      <w:r>
        <w:rPr/>
        <w:t>„(3) Prin derogare de la prevederile prezentei legi, aplicarea prevederilor art. 24 litera e), se suspendă pe parcursul anilor 2020-2021.”.</w:t>
      </w:r>
    </w:p>
    <w:p>
      <w:pPr>
        <w:pStyle w:val="BodyText"/>
        <w:rPr>
          <w:sz w:val="32"/>
        </w:rPr>
      </w:pPr>
    </w:p>
    <w:p>
      <w:pPr>
        <w:pStyle w:val="BodyText"/>
        <w:spacing w:line="278" w:lineRule="auto"/>
        <w:ind w:left="101" w:firstLine="359"/>
      </w:pPr>
      <w:r>
        <w:rPr/>
        <w:t>Art. II. Prezenta lege intră în vigoare la data publicării în Monitorul Oficial al Republicii Moldova.</w:t>
      </w:r>
    </w:p>
    <w:p>
      <w:pPr>
        <w:pStyle w:val="BodyText"/>
        <w:rPr>
          <w:sz w:val="30"/>
        </w:rPr>
      </w:pPr>
    </w:p>
    <w:p>
      <w:pPr>
        <w:pStyle w:val="BodyText"/>
        <w:rPr>
          <w:sz w:val="30"/>
        </w:rPr>
      </w:pPr>
    </w:p>
    <w:p>
      <w:pPr>
        <w:pStyle w:val="BodyText"/>
        <w:spacing w:before="11"/>
        <w:rPr>
          <w:sz w:val="40"/>
        </w:rPr>
      </w:pPr>
    </w:p>
    <w:p>
      <w:pPr>
        <w:pStyle w:val="Heading1"/>
        <w:ind w:left="461"/>
      </w:pPr>
      <w:r>
        <w:rPr/>
        <w:t>PREŞEDINTELE PARLAMENTULUI</w:t>
      </w:r>
    </w:p>
    <w:p>
      <w:pPr>
        <w:spacing w:after="0"/>
        <w:sectPr>
          <w:type w:val="continuous"/>
          <w:pgSz w:w="12240" w:h="15840"/>
          <w:pgMar w:top="1500" w:bottom="280" w:left="1600" w:right="740"/>
        </w:sectPr>
      </w:pPr>
    </w:p>
    <w:p>
      <w:pPr>
        <w:spacing w:line="322" w:lineRule="exact" w:before="69"/>
        <w:ind w:left="458" w:right="370" w:firstLine="0"/>
        <w:jc w:val="center"/>
        <w:rPr>
          <w:b/>
          <w:sz w:val="28"/>
        </w:rPr>
      </w:pPr>
      <w:bookmarkStart w:name="NOTA informativa_" w:id="2"/>
      <w:bookmarkEnd w:id="2"/>
      <w:r>
        <w:rPr/>
      </w:r>
      <w:r>
        <w:rPr>
          <w:b/>
          <w:sz w:val="28"/>
        </w:rPr>
        <w:t>NOTĂ INFORMATIVĂ</w:t>
      </w:r>
    </w:p>
    <w:p>
      <w:pPr>
        <w:spacing w:before="0"/>
        <w:ind w:left="458" w:right="370" w:firstLine="0"/>
        <w:jc w:val="center"/>
        <w:rPr>
          <w:b/>
          <w:sz w:val="28"/>
        </w:rPr>
      </w:pPr>
      <w:r>
        <w:rPr>
          <w:b/>
          <w:sz w:val="28"/>
        </w:rPr>
        <w:t>la proiectul privind modificarea Legii nr.276/2016 cu privire la principiile de subvenționare în dezvoltarea agriculturii și mediului rural</w:t>
      </w:r>
    </w:p>
    <w:p>
      <w:pPr>
        <w:pStyle w:val="BodyText"/>
        <w:spacing w:before="10"/>
        <w:rPr>
          <w:b/>
          <w:sz w:val="27"/>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9"/>
      </w:tblGrid>
      <w:tr>
        <w:trPr>
          <w:trHeight w:val="321" w:hRule="atLeast"/>
        </w:trPr>
        <w:tc>
          <w:tcPr>
            <w:tcW w:w="9749" w:type="dxa"/>
          </w:tcPr>
          <w:p>
            <w:pPr>
              <w:pStyle w:val="TableParagraph"/>
              <w:spacing w:line="301" w:lineRule="exact"/>
              <w:ind w:left="2762"/>
              <w:rPr>
                <w:b/>
                <w:sz w:val="28"/>
              </w:rPr>
            </w:pPr>
            <w:r>
              <w:rPr>
                <w:b/>
                <w:sz w:val="28"/>
              </w:rPr>
              <w:t>1. Autorul și denumirea proiectului</w:t>
            </w:r>
          </w:p>
        </w:tc>
      </w:tr>
      <w:tr>
        <w:trPr>
          <w:trHeight w:val="966" w:hRule="atLeast"/>
        </w:trPr>
        <w:tc>
          <w:tcPr>
            <w:tcW w:w="9749" w:type="dxa"/>
          </w:tcPr>
          <w:p>
            <w:pPr>
              <w:pStyle w:val="TableParagraph"/>
              <w:spacing w:before="2"/>
              <w:ind w:firstLine="208"/>
              <w:rPr>
                <w:sz w:val="28"/>
              </w:rPr>
            </w:pPr>
            <w:r>
              <w:rPr>
                <w:sz w:val="28"/>
              </w:rPr>
              <w:t>Deputații semnatari. Proiectul privind modificarea Legii nr.276/2016 cu privire la principiile de subvenționare în dezvoltarea agriculturii și mediului rural.</w:t>
            </w:r>
          </w:p>
        </w:tc>
      </w:tr>
      <w:tr>
        <w:trPr>
          <w:trHeight w:val="645" w:hRule="atLeast"/>
        </w:trPr>
        <w:tc>
          <w:tcPr>
            <w:tcW w:w="9749" w:type="dxa"/>
          </w:tcPr>
          <w:p>
            <w:pPr>
              <w:pStyle w:val="TableParagraph"/>
              <w:spacing w:line="322" w:lineRule="exact" w:before="3"/>
              <w:ind w:left="3688" w:right="900" w:hanging="2763"/>
              <w:rPr>
                <w:b/>
                <w:sz w:val="28"/>
              </w:rPr>
            </w:pPr>
            <w:r>
              <w:rPr>
                <w:b/>
                <w:sz w:val="28"/>
              </w:rPr>
              <w:t>2. Condițiile ce au impus elaborarea proiectului de act normativ şi finalitățile urmărite</w:t>
            </w:r>
          </w:p>
        </w:tc>
      </w:tr>
      <w:tr>
        <w:trPr>
          <w:trHeight w:val="4826" w:hRule="atLeast"/>
        </w:trPr>
        <w:tc>
          <w:tcPr>
            <w:tcW w:w="9749" w:type="dxa"/>
          </w:tcPr>
          <w:p>
            <w:pPr>
              <w:pStyle w:val="TableParagraph"/>
              <w:ind w:right="95" w:firstLine="417"/>
              <w:jc w:val="both"/>
              <w:rPr>
                <w:sz w:val="28"/>
              </w:rPr>
            </w:pPr>
            <w:r>
              <w:rPr>
                <w:sz w:val="28"/>
              </w:rPr>
              <w:t>Necesitatea elaborării proiectului vine în contextul crizei din domeniul agricol create în anul 2020, condiționată de calamitățile naturale în sectorul agricol, în anul 2020, inclusiv seceta excesivă din toamna anului 2019 - primăvara anului 2020 și până în prezent.</w:t>
            </w:r>
          </w:p>
          <w:p>
            <w:pPr>
              <w:pStyle w:val="TableParagraph"/>
              <w:ind w:right="93" w:firstLine="487"/>
              <w:jc w:val="both"/>
              <w:rPr>
                <w:sz w:val="28"/>
              </w:rPr>
            </w:pPr>
            <w:r>
              <w:rPr>
                <w:sz w:val="28"/>
              </w:rPr>
              <w:t>Obiectivele proiectului de modificare a Legii nr.276/2016 cu privire la principiile de subvenționare în dezvoltarea agriculturii și mediului rural sunt următoarele:</w:t>
            </w:r>
          </w:p>
          <w:p>
            <w:pPr>
              <w:pStyle w:val="TableParagraph"/>
              <w:ind w:right="93" w:firstLine="631"/>
              <w:jc w:val="both"/>
              <w:rPr>
                <w:sz w:val="28"/>
              </w:rPr>
            </w:pPr>
            <w:r>
              <w:rPr>
                <w:sz w:val="28"/>
              </w:rPr>
              <w:t>modificarea condițiilor de reglementare privind subvenționarea creditelor acordate producătorilor agricoli, astfel încît respectivele mijloace financiare să fie virate direct băncilor sau instituțiilor financiare nebancare fără ca agricultorii să sustragă mijloacele financiare din rulaj pentru achitarea ratelor și să depună dosarele la Agenția de Intervenție și Plăți în Agricultură;</w:t>
            </w:r>
          </w:p>
          <w:p>
            <w:pPr>
              <w:pStyle w:val="TableParagraph"/>
              <w:spacing w:line="322" w:lineRule="exact" w:before="2"/>
              <w:ind w:right="94" w:firstLine="838"/>
              <w:jc w:val="both"/>
              <w:rPr>
                <w:sz w:val="28"/>
              </w:rPr>
            </w:pPr>
            <w:r>
              <w:rPr>
                <w:sz w:val="28"/>
              </w:rPr>
              <w:t>eliminarea, pe o perioada bine determinată anii 2020-2021, a condițiilor de prezentare a certificatului care atestă lipsa datoriilor pentru obținerea subvențiilor, la examinarea cererilor de subvenționare.</w:t>
            </w:r>
          </w:p>
        </w:tc>
      </w:tr>
      <w:tr>
        <w:trPr>
          <w:trHeight w:val="640" w:hRule="atLeast"/>
        </w:trPr>
        <w:tc>
          <w:tcPr>
            <w:tcW w:w="9749" w:type="dxa"/>
          </w:tcPr>
          <w:p>
            <w:pPr>
              <w:pStyle w:val="TableParagraph"/>
              <w:spacing w:line="317" w:lineRule="exact"/>
              <w:ind w:left="436"/>
              <w:rPr>
                <w:b/>
                <w:sz w:val="28"/>
              </w:rPr>
            </w:pPr>
            <w:r>
              <w:rPr>
                <w:b/>
                <w:sz w:val="28"/>
              </w:rPr>
              <w:t>3. Descrierea gradului de compatibilitate pentru proiectele care au ca scop</w:t>
            </w:r>
          </w:p>
          <w:p>
            <w:pPr>
              <w:pStyle w:val="TableParagraph"/>
              <w:spacing w:line="303" w:lineRule="exact"/>
              <w:ind w:left="1086"/>
              <w:rPr>
                <w:b/>
                <w:sz w:val="28"/>
              </w:rPr>
            </w:pPr>
            <w:r>
              <w:rPr>
                <w:b/>
                <w:sz w:val="28"/>
              </w:rPr>
              <w:t>armonizarea legislaţiei naţionale cu legislaţia Uniunii Europene</w:t>
            </w:r>
          </w:p>
        </w:tc>
      </w:tr>
      <w:tr>
        <w:trPr>
          <w:trHeight w:val="642" w:hRule="atLeast"/>
        </w:trPr>
        <w:tc>
          <w:tcPr>
            <w:tcW w:w="9749" w:type="dxa"/>
          </w:tcPr>
          <w:p>
            <w:pPr>
              <w:pStyle w:val="TableParagraph"/>
              <w:spacing w:line="322" w:lineRule="exact" w:before="4"/>
              <w:ind w:firstLine="348"/>
              <w:rPr>
                <w:sz w:val="28"/>
              </w:rPr>
            </w:pPr>
            <w:r>
              <w:rPr>
                <w:sz w:val="28"/>
              </w:rPr>
              <w:t>Proiectul nu conține norme privind armonizarea legislaţiei naţionale cu legislaţia statelor membre ale Uniunii Europene.</w:t>
            </w:r>
          </w:p>
        </w:tc>
      </w:tr>
      <w:tr>
        <w:trPr>
          <w:trHeight w:val="316" w:hRule="atLeast"/>
        </w:trPr>
        <w:tc>
          <w:tcPr>
            <w:tcW w:w="9749" w:type="dxa"/>
          </w:tcPr>
          <w:p>
            <w:pPr>
              <w:pStyle w:val="TableParagraph"/>
              <w:spacing w:line="296" w:lineRule="exact"/>
              <w:ind w:left="662"/>
              <w:rPr>
                <w:b/>
                <w:sz w:val="28"/>
              </w:rPr>
            </w:pPr>
            <w:r>
              <w:rPr>
                <w:b/>
                <w:sz w:val="28"/>
              </w:rPr>
              <w:t>4. Principalele prevederi ale proiectului şi evidențierea elementelor noi</w:t>
            </w:r>
          </w:p>
        </w:tc>
      </w:tr>
      <w:tr>
        <w:trPr>
          <w:trHeight w:val="4830" w:hRule="atLeast"/>
        </w:trPr>
        <w:tc>
          <w:tcPr>
            <w:tcW w:w="9749" w:type="dxa"/>
          </w:tcPr>
          <w:p>
            <w:pPr>
              <w:pStyle w:val="TableParagraph"/>
              <w:ind w:right="131" w:firstLine="628"/>
              <w:jc w:val="both"/>
              <w:rPr>
                <w:sz w:val="28"/>
              </w:rPr>
            </w:pPr>
            <w:r>
              <w:rPr>
                <w:sz w:val="28"/>
              </w:rPr>
              <w:t>Gradul de afectare a roadei culturilor agricole, ca urmare a înregistrării calamităților naturale, în mare parte depășește cifra de 60%, fapt care s-a răsfrâns negativ asupra rentabilității afacerilor producătorilor agricoli.</w:t>
            </w:r>
          </w:p>
          <w:p>
            <w:pPr>
              <w:pStyle w:val="TableParagraph"/>
              <w:spacing w:before="1"/>
              <w:ind w:right="127" w:firstLine="629"/>
              <w:jc w:val="both"/>
              <w:rPr>
                <w:sz w:val="28"/>
              </w:rPr>
            </w:pPr>
            <w:r>
              <w:rPr>
                <w:sz w:val="28"/>
              </w:rPr>
              <w:t>Pentru ași dezvolta afacerea peste 2200 producători agricoli au accesat credite de la băncile comerciale și/sau instituțiilor financiare nebancare înregistrate pe teritoriul Republicii Moldova, pe care în situația de criză nu au posibilitate sa le achite în condițiile contractuale între beneficiar și creditor.</w:t>
            </w:r>
          </w:p>
          <w:p>
            <w:pPr>
              <w:pStyle w:val="TableParagraph"/>
              <w:spacing w:before="1"/>
              <w:ind w:left="108" w:right="127" w:firstLine="557"/>
              <w:jc w:val="both"/>
              <w:rPr>
                <w:sz w:val="28"/>
              </w:rPr>
            </w:pPr>
            <w:r>
              <w:rPr>
                <w:sz w:val="28"/>
              </w:rPr>
              <w:t>În scopul asigurării securității alimentare a țării este vital de a continua susținerea producătorilor agricoli, de a identifica noi soluții pentru acoperirea parțială a cheltuielilor efectuate în întreținerea exploatațiilor agricole, inclusiv în vederea rambursarea ratei dobînzilor la creditele accesate în perioada anilor 2020- 2021.</w:t>
            </w:r>
          </w:p>
          <w:p>
            <w:pPr>
              <w:pStyle w:val="TableParagraph"/>
              <w:spacing w:line="320" w:lineRule="exact"/>
              <w:ind w:firstLine="451"/>
              <w:rPr>
                <w:sz w:val="28"/>
              </w:rPr>
            </w:pPr>
            <w:r>
              <w:rPr>
                <w:sz w:val="28"/>
              </w:rPr>
              <w:t>Actualmente,</w:t>
            </w:r>
            <w:r>
              <w:rPr>
                <w:spacing w:val="30"/>
                <w:sz w:val="28"/>
              </w:rPr>
              <w:t> </w:t>
            </w:r>
            <w:r>
              <w:rPr>
                <w:sz w:val="28"/>
              </w:rPr>
              <w:t>în</w:t>
            </w:r>
            <w:r>
              <w:rPr>
                <w:spacing w:val="33"/>
                <w:sz w:val="28"/>
              </w:rPr>
              <w:t> </w:t>
            </w:r>
            <w:r>
              <w:rPr>
                <w:sz w:val="28"/>
              </w:rPr>
              <w:t>condițiile</w:t>
            </w:r>
            <w:r>
              <w:rPr>
                <w:spacing w:val="32"/>
                <w:sz w:val="28"/>
              </w:rPr>
              <w:t> </w:t>
            </w:r>
            <w:r>
              <w:rPr>
                <w:sz w:val="28"/>
              </w:rPr>
              <w:t>art.</w:t>
            </w:r>
            <w:r>
              <w:rPr>
                <w:spacing w:val="31"/>
                <w:sz w:val="28"/>
              </w:rPr>
              <w:t> </w:t>
            </w:r>
            <w:r>
              <w:rPr>
                <w:sz w:val="28"/>
              </w:rPr>
              <w:t>32,</w:t>
            </w:r>
            <w:r>
              <w:rPr>
                <w:spacing w:val="31"/>
                <w:sz w:val="28"/>
              </w:rPr>
              <w:t> </w:t>
            </w:r>
            <w:r>
              <w:rPr>
                <w:sz w:val="28"/>
              </w:rPr>
              <w:t>alin.</w:t>
            </w:r>
            <w:r>
              <w:rPr>
                <w:spacing w:val="31"/>
                <w:sz w:val="28"/>
              </w:rPr>
              <w:t> </w:t>
            </w:r>
            <w:r>
              <w:rPr>
                <w:sz w:val="28"/>
              </w:rPr>
              <w:t>(1),</w:t>
            </w:r>
            <w:r>
              <w:rPr>
                <w:spacing w:val="31"/>
                <w:sz w:val="28"/>
              </w:rPr>
              <w:t> </w:t>
            </w:r>
            <w:r>
              <w:rPr>
                <w:sz w:val="28"/>
              </w:rPr>
              <w:t>procesul</w:t>
            </w:r>
            <w:r>
              <w:rPr>
                <w:spacing w:val="30"/>
                <w:sz w:val="28"/>
              </w:rPr>
              <w:t> </w:t>
            </w:r>
            <w:r>
              <w:rPr>
                <w:sz w:val="28"/>
              </w:rPr>
              <w:t>de</w:t>
            </w:r>
            <w:r>
              <w:rPr>
                <w:spacing w:val="29"/>
                <w:sz w:val="28"/>
              </w:rPr>
              <w:t> </w:t>
            </w:r>
            <w:r>
              <w:rPr>
                <w:sz w:val="28"/>
              </w:rPr>
              <w:t>autorizare</w:t>
            </w:r>
            <w:r>
              <w:rPr>
                <w:spacing w:val="29"/>
                <w:sz w:val="28"/>
              </w:rPr>
              <w:t> </w:t>
            </w:r>
            <w:r>
              <w:rPr>
                <w:sz w:val="28"/>
              </w:rPr>
              <w:t>spre</w:t>
            </w:r>
            <w:r>
              <w:rPr>
                <w:spacing w:val="30"/>
                <w:sz w:val="28"/>
              </w:rPr>
              <w:t> </w:t>
            </w:r>
            <w:r>
              <w:rPr>
                <w:sz w:val="28"/>
              </w:rPr>
              <w:t>plată</w:t>
            </w:r>
            <w:r>
              <w:rPr>
                <w:spacing w:val="30"/>
                <w:sz w:val="28"/>
              </w:rPr>
              <w:t> </w:t>
            </w:r>
            <w:r>
              <w:rPr>
                <w:sz w:val="28"/>
              </w:rPr>
              <w:t>a</w:t>
            </w:r>
          </w:p>
          <w:p>
            <w:pPr>
              <w:pStyle w:val="TableParagraph"/>
              <w:spacing w:line="322" w:lineRule="exact" w:before="6"/>
              <w:ind w:hanging="1"/>
              <w:rPr>
                <w:sz w:val="28"/>
              </w:rPr>
            </w:pPr>
            <w:r>
              <w:rPr>
                <w:sz w:val="28"/>
              </w:rPr>
              <w:t>subvenției are la bază mai multe principii, unul dintre care prevede expres că autorizarea</w:t>
            </w:r>
            <w:r>
              <w:rPr>
                <w:spacing w:val="16"/>
                <w:sz w:val="28"/>
              </w:rPr>
              <w:t> </w:t>
            </w:r>
            <w:r>
              <w:rPr>
                <w:sz w:val="28"/>
              </w:rPr>
              <w:t>plăţilor</w:t>
            </w:r>
            <w:r>
              <w:rPr>
                <w:spacing w:val="17"/>
                <w:sz w:val="28"/>
              </w:rPr>
              <w:t> </w:t>
            </w:r>
            <w:r>
              <w:rPr>
                <w:sz w:val="28"/>
              </w:rPr>
              <w:t>se</w:t>
            </w:r>
            <w:r>
              <w:rPr>
                <w:spacing w:val="16"/>
                <w:sz w:val="28"/>
              </w:rPr>
              <w:t> </w:t>
            </w:r>
            <w:r>
              <w:rPr>
                <w:sz w:val="28"/>
              </w:rPr>
              <w:t>efectuează</w:t>
            </w:r>
            <w:r>
              <w:rPr>
                <w:spacing w:val="16"/>
                <w:sz w:val="28"/>
              </w:rPr>
              <w:t> </w:t>
            </w:r>
            <w:r>
              <w:rPr>
                <w:sz w:val="28"/>
              </w:rPr>
              <w:t>în</w:t>
            </w:r>
            <w:r>
              <w:rPr>
                <w:spacing w:val="15"/>
                <w:sz w:val="28"/>
              </w:rPr>
              <w:t> </w:t>
            </w:r>
            <w:r>
              <w:rPr>
                <w:sz w:val="28"/>
              </w:rPr>
              <w:t>ordinea</w:t>
            </w:r>
            <w:r>
              <w:rPr>
                <w:spacing w:val="16"/>
                <w:sz w:val="28"/>
              </w:rPr>
              <w:t> </w:t>
            </w:r>
            <w:r>
              <w:rPr>
                <w:sz w:val="28"/>
              </w:rPr>
              <w:t>recepţionării</w:t>
            </w:r>
            <w:r>
              <w:rPr>
                <w:spacing w:val="17"/>
                <w:sz w:val="28"/>
              </w:rPr>
              <w:t> </w:t>
            </w:r>
            <w:r>
              <w:rPr>
                <w:sz w:val="28"/>
              </w:rPr>
              <w:t>dosarelor,</w:t>
            </w:r>
            <w:r>
              <w:rPr>
                <w:spacing w:val="16"/>
                <w:sz w:val="28"/>
              </w:rPr>
              <w:t> </w:t>
            </w:r>
            <w:r>
              <w:rPr>
                <w:sz w:val="28"/>
              </w:rPr>
              <w:t>conform</w:t>
            </w:r>
            <w:r>
              <w:rPr>
                <w:spacing w:val="11"/>
                <w:sz w:val="28"/>
              </w:rPr>
              <w:t> </w:t>
            </w:r>
            <w:r>
              <w:rPr>
                <w:sz w:val="28"/>
              </w:rPr>
              <w:t>regulii</w:t>
            </w:r>
          </w:p>
        </w:tc>
      </w:tr>
    </w:tbl>
    <w:p>
      <w:pPr>
        <w:spacing w:after="0" w:line="322" w:lineRule="exact"/>
        <w:rPr>
          <w:sz w:val="28"/>
        </w:rPr>
        <w:sectPr>
          <w:footerReference w:type="default" r:id="rId5"/>
          <w:pgSz w:w="11910" w:h="16840"/>
          <w:pgMar w:footer="729" w:header="0" w:top="340" w:bottom="920" w:left="1200" w:right="720"/>
          <w:pgNumType w:start="1"/>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9"/>
      </w:tblGrid>
      <w:tr>
        <w:trPr>
          <w:trHeight w:val="6647" w:hRule="atLeast"/>
        </w:trPr>
        <w:tc>
          <w:tcPr>
            <w:tcW w:w="9749" w:type="dxa"/>
          </w:tcPr>
          <w:p>
            <w:pPr>
              <w:pStyle w:val="TableParagraph"/>
              <w:spacing w:line="322" w:lineRule="exact"/>
              <w:rPr>
                <w:sz w:val="28"/>
              </w:rPr>
            </w:pPr>
            <w:r>
              <w:rPr>
                <w:sz w:val="28"/>
              </w:rPr>
              <w:t>„primul venit, primul servit”.</w:t>
            </w:r>
          </w:p>
          <w:p>
            <w:pPr>
              <w:pStyle w:val="TableParagraph"/>
              <w:spacing w:line="276" w:lineRule="auto"/>
              <w:ind w:right="234" w:firstLine="708"/>
              <w:jc w:val="both"/>
              <w:rPr>
                <w:sz w:val="28"/>
              </w:rPr>
            </w:pPr>
            <w:r>
              <w:rPr>
                <w:sz w:val="28"/>
              </w:rPr>
              <w:t>Tot aceiași Legi, art. 33 alin. (5) prevede că cererile de acordare a subvențiilor, recepționate peste limita mijloacelor acordate Fondul Național de Dezvoltare a Agriculturii și Mediului Rural (FNDAMR), sunt autorizate în limita mijloacelor acordate din fondului respectiv pentru anul curent și acestea au prioritate la achitare.</w:t>
            </w:r>
          </w:p>
          <w:p>
            <w:pPr>
              <w:pStyle w:val="TableParagraph"/>
              <w:spacing w:line="276" w:lineRule="auto"/>
              <w:ind w:right="236" w:firstLine="708"/>
              <w:jc w:val="both"/>
              <w:rPr>
                <w:sz w:val="28"/>
              </w:rPr>
            </w:pPr>
            <w:r>
              <w:rPr>
                <w:sz w:val="28"/>
              </w:rPr>
              <w:t>În cazul dat, pentru a evita situații de incertitudine pentru părțile implicate, în raport cu rambursarea ratei dobînzilor la creditele accesate de către producătorii agricoli, este oportun de a exclude aplicarea acestui principiu pentru proiectele privind stimularea creditării producătorilor agricoli de către băncile comerciale şi instituţiile financiar nebancare, iar stabilirea regulilor de reglementare a acestei proceduri devine prerogative Guvernului.</w:t>
            </w:r>
          </w:p>
          <w:p>
            <w:pPr>
              <w:pStyle w:val="TableParagraph"/>
              <w:ind w:right="93" w:firstLine="451"/>
              <w:jc w:val="both"/>
              <w:rPr>
                <w:sz w:val="28"/>
              </w:rPr>
            </w:pPr>
            <w:r>
              <w:rPr>
                <w:sz w:val="28"/>
              </w:rPr>
              <w:t>Totodată, pentru a nu stopa procesul de acordare a subvențiilor, atît de important pentru producătorii agricoli, este necesar de a exclude din criteriile de eligibilitate prevăzute în Legea de bază, pentru aceeași perioada concreta, a condiției privind lipsa restanțelor la achitarea impozitelor şi taxelor faţă de bugetul public naţional la depunerii cererii de acordare a subvenţiei.</w:t>
            </w:r>
          </w:p>
          <w:p>
            <w:pPr>
              <w:pStyle w:val="TableParagraph"/>
              <w:spacing w:line="322" w:lineRule="exact" w:before="4"/>
              <w:ind w:right="94" w:firstLine="451"/>
              <w:jc w:val="both"/>
              <w:rPr>
                <w:sz w:val="28"/>
              </w:rPr>
            </w:pPr>
            <w:r>
              <w:rPr>
                <w:sz w:val="28"/>
              </w:rPr>
              <w:t>În contextul celor relatate, se impune operarea unor modificări la art. 32, 33 și 37 din Legea</w:t>
            </w:r>
            <w:r>
              <w:rPr>
                <w:spacing w:val="-4"/>
                <w:sz w:val="28"/>
              </w:rPr>
              <w:t> </w:t>
            </w:r>
            <w:r>
              <w:rPr>
                <w:sz w:val="28"/>
              </w:rPr>
              <w:t>prenotată.</w:t>
            </w:r>
          </w:p>
        </w:tc>
      </w:tr>
      <w:tr>
        <w:trPr>
          <w:trHeight w:val="316" w:hRule="atLeast"/>
        </w:trPr>
        <w:tc>
          <w:tcPr>
            <w:tcW w:w="9749" w:type="dxa"/>
          </w:tcPr>
          <w:p>
            <w:pPr>
              <w:pStyle w:val="TableParagraph"/>
              <w:spacing w:line="296" w:lineRule="exact"/>
              <w:ind w:left="2450"/>
              <w:rPr>
                <w:b/>
                <w:sz w:val="28"/>
              </w:rPr>
            </w:pPr>
            <w:r>
              <w:rPr>
                <w:b/>
                <w:sz w:val="28"/>
              </w:rPr>
              <w:t>5. Fundamentarea economico-financiară</w:t>
            </w:r>
          </w:p>
        </w:tc>
      </w:tr>
      <w:tr>
        <w:trPr>
          <w:trHeight w:val="966" w:hRule="atLeast"/>
        </w:trPr>
        <w:tc>
          <w:tcPr>
            <w:tcW w:w="9749" w:type="dxa"/>
          </w:tcPr>
          <w:p>
            <w:pPr>
              <w:pStyle w:val="TableParagraph"/>
              <w:ind w:firstLine="278"/>
              <w:rPr>
                <w:sz w:val="28"/>
              </w:rPr>
            </w:pPr>
            <w:r>
              <w:rPr>
                <w:sz w:val="28"/>
              </w:rPr>
              <w:t>Ministerul Agriculturii, Dezvoltării Regionale și Mediului de comun cu Agenția</w:t>
            </w:r>
          </w:p>
          <w:p>
            <w:pPr>
              <w:pStyle w:val="TableParagraph"/>
              <w:spacing w:line="322" w:lineRule="exact" w:before="6"/>
              <w:rPr>
                <w:sz w:val="28"/>
              </w:rPr>
            </w:pPr>
            <w:r>
              <w:rPr>
                <w:sz w:val="28"/>
              </w:rPr>
              <w:t>de Intervenții și Plăți pentru Agricultură vor estima cheltuielile necesare din FNDAMR pentru implementarea prevederilor proiectului actului normativ.</w:t>
            </w:r>
          </w:p>
        </w:tc>
      </w:tr>
      <w:tr>
        <w:trPr>
          <w:trHeight w:val="316" w:hRule="atLeast"/>
        </w:trPr>
        <w:tc>
          <w:tcPr>
            <w:tcW w:w="9749" w:type="dxa"/>
          </w:tcPr>
          <w:p>
            <w:pPr>
              <w:pStyle w:val="TableParagraph"/>
              <w:ind w:left="0"/>
              <w:rPr>
                <w:sz w:val="24"/>
              </w:rPr>
            </w:pPr>
          </w:p>
        </w:tc>
      </w:tr>
    </w:tbl>
    <w:p>
      <w:pPr>
        <w:pStyle w:val="BodyText"/>
        <w:rPr>
          <w:b/>
          <w:sz w:val="20"/>
        </w:rPr>
      </w:pPr>
    </w:p>
    <w:p>
      <w:pPr>
        <w:pStyle w:val="BodyText"/>
        <w:rPr>
          <w:b/>
          <w:sz w:val="20"/>
        </w:rPr>
      </w:pPr>
    </w:p>
    <w:p>
      <w:pPr>
        <w:pStyle w:val="BodyText"/>
        <w:rPr>
          <w:b/>
          <w:sz w:val="20"/>
        </w:rPr>
      </w:pPr>
    </w:p>
    <w:p>
      <w:pPr>
        <w:pStyle w:val="BodyText"/>
        <w:spacing w:before="11"/>
        <w:rPr>
          <w:b/>
          <w:sz w:val="16"/>
        </w:rPr>
      </w:pPr>
    </w:p>
    <w:p>
      <w:pPr>
        <w:spacing w:before="90"/>
        <w:ind w:left="7629" w:right="129" w:firstLine="460"/>
        <w:jc w:val="right"/>
        <w:rPr>
          <w:b/>
          <w:sz w:val="24"/>
        </w:rPr>
      </w:pPr>
      <w:r>
        <w:rPr>
          <w:b/>
          <w:sz w:val="24"/>
        </w:rPr>
        <w:t>Nicolae CIUBUC Deputat în Parlament</w:t>
      </w:r>
    </w:p>
    <w:sectPr>
      <w:pgSz w:w="11910" w:h="16840"/>
      <w:pgMar w:header="0" w:footer="729" w:top="400" w:bottom="920" w:left="12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4.359985pt;margin-top:794.484497pt;width:59.45pt;height:13.05pt;mso-position-horizontal-relative:page;mso-position-vertical-relative:page;z-index:-3952" type="#_x0000_t202" filled="false" stroked="false">
          <v:textbox inset="0,0,0,0">
            <w:txbxContent>
              <w:p>
                <w:pPr>
                  <w:spacing w:before="10"/>
                  <w:ind w:left="20" w:right="0" w:firstLine="0"/>
                  <w:jc w:val="left"/>
                  <w:rPr>
                    <w:b/>
                    <w:sz w:val="20"/>
                  </w:rPr>
                </w:pPr>
                <w:r>
                  <w:rPr>
                    <w:sz w:val="20"/>
                  </w:rPr>
                  <w:t>Paginа </w:t>
                </w:r>
                <w:r>
                  <w:rPr/>
                  <w:fldChar w:fldCharType="begin"/>
                </w:r>
                <w:r>
                  <w:rPr>
                    <w:b/>
                    <w:sz w:val="20"/>
                  </w:rPr>
                  <w:instrText> PAGE </w:instrText>
                </w:r>
                <w:r>
                  <w:rPr/>
                  <w:fldChar w:fldCharType="separate"/>
                </w:r>
                <w:r>
                  <w:rPr/>
                  <w:t>1</w:t>
                </w:r>
                <w:r>
                  <w:rPr/>
                  <w:fldChar w:fldCharType="end"/>
                </w:r>
                <w:r>
                  <w:rPr>
                    <w:b/>
                    <w:sz w:val="20"/>
                  </w:rPr>
                  <w:t> </w:t>
                </w:r>
                <w:r>
                  <w:rPr>
                    <w:sz w:val="20"/>
                  </w:rPr>
                  <w:t>din </w:t>
                </w:r>
                <w:r>
                  <w:rPr>
                    <w:b/>
                    <w:sz w:val="20"/>
                  </w:rPr>
                  <w:t>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2" w:hanging="360"/>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080" w:hanging="360"/>
      </w:pPr>
      <w:rPr>
        <w:rFonts w:hint="default"/>
      </w:rPr>
    </w:lvl>
    <w:lvl w:ilvl="2">
      <w:start w:val="0"/>
      <w:numFmt w:val="bullet"/>
      <w:lvlText w:val="•"/>
      <w:lvlJc w:val="left"/>
      <w:pPr>
        <w:ind w:left="2060" w:hanging="360"/>
      </w:pPr>
      <w:rPr>
        <w:rFonts w:hint="default"/>
      </w:rPr>
    </w:lvl>
    <w:lvl w:ilvl="3">
      <w:start w:val="0"/>
      <w:numFmt w:val="bullet"/>
      <w:lvlText w:val="•"/>
      <w:lvlJc w:val="left"/>
      <w:pPr>
        <w:ind w:left="3040" w:hanging="360"/>
      </w:pPr>
      <w:rPr>
        <w:rFonts w:hint="default"/>
      </w:rPr>
    </w:lvl>
    <w:lvl w:ilvl="4">
      <w:start w:val="0"/>
      <w:numFmt w:val="bullet"/>
      <w:lvlText w:val="•"/>
      <w:lvlJc w:val="left"/>
      <w:pPr>
        <w:ind w:left="4020" w:hanging="360"/>
      </w:pPr>
      <w:rPr>
        <w:rFonts w:hint="default"/>
      </w:rPr>
    </w:lvl>
    <w:lvl w:ilvl="5">
      <w:start w:val="0"/>
      <w:numFmt w:val="bullet"/>
      <w:lvlText w:val="•"/>
      <w:lvlJc w:val="left"/>
      <w:pPr>
        <w:ind w:left="5000" w:hanging="360"/>
      </w:pPr>
      <w:rPr>
        <w:rFonts w:hint="default"/>
      </w:rPr>
    </w:lvl>
    <w:lvl w:ilvl="6">
      <w:start w:val="0"/>
      <w:numFmt w:val="bullet"/>
      <w:lvlText w:val="•"/>
      <w:lvlJc w:val="left"/>
      <w:pPr>
        <w:ind w:left="5980" w:hanging="360"/>
      </w:pPr>
      <w:rPr>
        <w:rFonts w:hint="default"/>
      </w:rPr>
    </w:lvl>
    <w:lvl w:ilvl="7">
      <w:start w:val="0"/>
      <w:numFmt w:val="bullet"/>
      <w:lvlText w:val="•"/>
      <w:lvlJc w:val="left"/>
      <w:pPr>
        <w:ind w:left="6960" w:hanging="360"/>
      </w:pPr>
      <w:rPr>
        <w:rFonts w:hint="default"/>
      </w:rPr>
    </w:lvl>
    <w:lvl w:ilvl="8">
      <w:start w:val="0"/>
      <w:numFmt w:val="bullet"/>
      <w:lvlText w:val="•"/>
      <w:lvlJc w:val="left"/>
      <w:pPr>
        <w:ind w:left="79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ind w:left="458"/>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21" w:hanging="360"/>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numbering" Target="numbering.xml"/><Relationship Id="rId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ctura xmlns="deb42e83-2260-4c15-9444-eeddc6459f2b" xsi:nil="true"/>
    <Limba xmlns="deb42e83-2260-4c15-9444-eeddc6459f2b">Română</Limba>
    <Tipul_x0020_documentului_x0020_de_x0020_Initiere xmlns="deb42e83-2260-4c15-9444-eeddc6459f2b">Textul Initial</Tipul_x0020_documentului_x0020_de_x0020_Initie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itiere" ma:contentTypeID="0x010100DB3619079C70BA4C8A987488329513F90014B383F883BBE84C9A1272D50E465059" ma:contentTypeVersion="6" ma:contentTypeDescription="" ma:contentTypeScope="" ma:versionID="dd2fdf077691fdc15993d0edfd00601e">
  <xsd:schema xmlns:xsd="http://www.w3.org/2001/XMLSchema" xmlns:xs="http://www.w3.org/2001/XMLSchema" xmlns:p="http://schemas.microsoft.com/office/2006/metadata/properties" xmlns:ns2="deb42e83-2260-4c15-9444-eeddc6459f2b" targetNamespace="http://schemas.microsoft.com/office/2006/metadata/properties" ma:root="true" ma:fieldsID="21d8a23abda022e5c63bd32da54c1482" ns2:_="">
    <xsd:import namespace="deb42e83-2260-4c15-9444-eeddc6459f2b"/>
    <xsd:element name="properties">
      <xsd:complexType>
        <xsd:sequence>
          <xsd:element name="documentManagement">
            <xsd:complexType>
              <xsd:all>
                <xsd:element ref="ns2:Limba" minOccurs="0"/>
                <xsd:element ref="ns2:Tipul_x0020_documentului_x0020_de_x0020_Initiere"/>
                <xsd:element ref="ns2:Lec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42e83-2260-4c15-9444-eeddc6459f2b" elementFormDefault="qualified">
    <xsd:import namespace="http://schemas.microsoft.com/office/2006/documentManagement/types"/>
    <xsd:import namespace="http://schemas.microsoft.com/office/infopath/2007/PartnerControls"/>
    <xsd:element name="Limba" ma:index="8" nillable="true" ma:displayName="Limba" ma:default="Română" ma:format="Dropdown" ma:internalName="Limba">
      <xsd:simpleType>
        <xsd:restriction base="dms:Choice">
          <xsd:enumeration value="Română"/>
          <xsd:enumeration value="Rusă"/>
        </xsd:restriction>
      </xsd:simpleType>
    </xsd:element>
    <xsd:element name="Tipul_x0020_documentului_x0020_de_x0020_Initiere" ma:index="9" ma:displayName="Tipul documentului de Initiere" ma:default="Textul Initial" ma:description="" ma:format="Dropdown" ma:internalName="Tipul_x0020_documentului_x0020_de_x0020_Initiere">
      <xsd:simpleType>
        <xsd:restriction base="dms:Choice">
          <xsd:enumeration value="Scopul"/>
          <xsd:enumeration value="Textul Initial"/>
          <xsd:enumeration value="Conceptia"/>
          <xsd:enumeration value="Rezultatele expertizelor"/>
          <xsd:enumeration value="Locul in legislatie"/>
          <xsd:enumeration value="Fundamentalizarea economico-financiara"/>
          <xsd:enumeration value="Efectele social-economice"/>
        </xsd:restriction>
      </xsd:simpleType>
    </xsd:element>
    <xsd:element name="Lectura" ma:index="10" nillable="true" ma:displayName="Lectura" ma:decimals="0" ma:default="1" ma:description="" ma:internalName="Lectura" ma:readOnly="false" ma:percentage="FALSE">
      <xsd:simpleType>
        <xsd:restriction base="dms:Number">
          <xsd:maxInclusive value="1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103D0-E114-4574-8B93-D0B0D75CCA37}"/>
</file>

<file path=customXml/itemProps2.xml><?xml version="1.0" encoding="utf-8"?>
<ds:datastoreItem xmlns:ds="http://schemas.openxmlformats.org/officeDocument/2006/customXml" ds:itemID="{1D58697D-EC06-4702-B74B-C3D5EDE7B191}"/>
</file>

<file path=customXml/itemProps3.xml><?xml version="1.0" encoding="utf-8"?>
<ds:datastoreItem xmlns:ds="http://schemas.openxmlformats.org/officeDocument/2006/customXml" ds:itemID="{927DEB70-7A00-4BC5-BD35-6D9C1D1E26B3}"/>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393.2020.ro</dc:title>
  <dcterms:created xsi:type="dcterms:W3CDTF">2020-09-22T07:02:43Z</dcterms:created>
  <dcterms:modified xsi:type="dcterms:W3CDTF">2020-09-22T07:02:43Z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для Word</vt:lpwstr>
  </property>
  <property fmtid="{D5CDD505-2E9C-101B-9397-08002B2CF9AE}" pid="3" name="ContentTypeId">
    <vt:lpwstr>0x010100DB3619079C70BA4C8A987488329513F90014B383F883BBE84C9A1272D50E465059</vt:lpwstr>
  </property>
  <property fmtid="{D5CDD505-2E9C-101B-9397-08002B2CF9AE}" pid="5" name="Tipul documentului">
    <vt:lpwstr>Aviz</vt:lpwstr>
  </property>
</Properties>
</file>